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0" w:type="dxa"/>
        <w:tblInd w:w="-851" w:type="dxa"/>
        <w:shd w:val="clear" w:color="auto" w:fill="FEFEFD"/>
        <w:tblCellMar>
          <w:left w:w="0" w:type="dxa"/>
          <w:right w:w="0" w:type="dxa"/>
        </w:tblCellMar>
        <w:tblLook w:val="04A0"/>
      </w:tblPr>
      <w:tblGrid>
        <w:gridCol w:w="10632"/>
      </w:tblGrid>
      <w:tr w:rsidR="00A46B3D" w:rsidRPr="00A46B3D" w:rsidTr="00FB2CF1">
        <w:trPr>
          <w:trHeight w:val="750"/>
          <w:tblCellSpacing w:w="0" w:type="dxa"/>
        </w:trPr>
        <w:tc>
          <w:tcPr>
            <w:tcW w:w="10632" w:type="dxa"/>
            <w:shd w:val="clear" w:color="auto" w:fill="FEFEFD"/>
            <w:hideMark/>
          </w:tcPr>
          <w:p w:rsidR="00A46B3D" w:rsidRPr="00A46B3D" w:rsidRDefault="00A46B3D" w:rsidP="00A46B3D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36"/>
                <w:szCs w:val="36"/>
                <w:lang w:eastAsia="tr-TR"/>
              </w:rPr>
            </w:pPr>
            <w:r w:rsidRPr="00A46B3D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tr-TR"/>
              </w:rPr>
              <w:t>UV-A ve UV-B ışınlarına karşı koruma</w:t>
            </w:r>
          </w:p>
        </w:tc>
      </w:tr>
      <w:tr w:rsidR="00A46B3D" w:rsidRPr="00A46B3D" w:rsidTr="00FB2CF1">
        <w:trPr>
          <w:tblCellSpacing w:w="0" w:type="dxa"/>
        </w:trPr>
        <w:tc>
          <w:tcPr>
            <w:tcW w:w="10632" w:type="dxa"/>
            <w:shd w:val="clear" w:color="auto" w:fill="FEFEFD"/>
            <w:vAlign w:val="center"/>
            <w:hideMark/>
          </w:tcPr>
          <w:p w:rsidR="00FB2CF1" w:rsidRP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Ozon tabakasındaki koruyucu etkinin azalması güneşe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karşı korunmanın giderek daha önemli hale gelmesine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neden olmuştur. Gözler (ve tenimiz) ultraviyole (UV)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ışınlarında bulunan yüksek enerjili ışınlara karşı fazlasıyla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hassastır. Bulutlu havada dahi UV koruması esastır çünkü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bulutlar görünen ışığı emerler, ancak ultraviyole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ışınlarının yalnızca çok küçük bir kısmını emerler.</w:t>
            </w:r>
          </w:p>
          <w:p w:rsid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Kar, su, kum, temiz duvarlardan yansıma, camlar ve aynalar yoluyla UV’nin yansıdığı ortamlarda veya dağlarda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gözlerimiz ultraviyole ışınlarına daha fazla maruz kalmaktadır (örn. su %5-10 oranında UV ışınlarını yansıtır,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 oran kumda %20, karda %85’tir). Dahası, dağlarda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maruz kalınan UV miktarı her 1000 metrede %10 artmaktadır.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B64919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</w:p>
          <w:p w:rsidR="00FB2CF1" w:rsidRP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Bu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nedenle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tüm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LÜKS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OPTİK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güvenlik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gözlüklerimiz UV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ışınlarının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%99.9’unu</w:t>
            </w:r>
            <w:r w:rsidRPr="00FB2CF1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filtrelemektedir</w:t>
            </w:r>
          </w:p>
          <w:p w:rsid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ÖZELLİKLER :</w:t>
            </w:r>
          </w:p>
          <w:p w:rsidR="00B64919" w:rsidRPr="00FB2CF1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FB2CF1" w:rsidRPr="00B64919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Polarize</w:t>
            </w: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edilmiş lensler:</w:t>
            </w:r>
          </w:p>
          <w:p w:rsidR="00FB2CF1" w:rsidRP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Işık yansıma oranının yüksek olduğu yerlerde (aynalı duvarlı binalarda, su, açık renkli kum, kar…) polarize edilmiş filtreler daha</w:t>
            </w:r>
          </w:p>
          <w:p w:rsid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büyük konfor sağlar ve hem daha rahatlatıcıdır hem de kontrastın</w:t>
            </w:r>
            <w:r w:rsid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daha iyi algılanmasını sağlar.</w:t>
            </w:r>
          </w:p>
          <w:p w:rsidR="00B64919" w:rsidRPr="00FB2CF1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FB2CF1" w:rsidRPr="00B64919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UV400 :</w:t>
            </w:r>
          </w:p>
          <w:p w:rsid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Ultraviyolenin ardından (380 nm’ye kadar) mavi ışığa karşı 400</w:t>
            </w:r>
            <w:r w:rsid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nm’ye kadar ek koruma sağlar ve UV ışınlarına karşı %100 koruma sağladığı onaylanmıştır.</w:t>
            </w:r>
          </w:p>
          <w:p w:rsidR="00B64919" w:rsidRPr="00FB2CF1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FB2CF1" w:rsidRPr="00B64919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IR :</w:t>
            </w:r>
          </w:p>
          <w:p w:rsidR="00FB2CF1" w:rsidRP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Kızıl ötesi ışınlar gözle görünen kızıl ışığı takip eder, ancak insan</w:t>
            </w:r>
            <w:r w:rsid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gözü tarafından görülmezler ve ışığa maruz kalan yüzey ve vü-</w:t>
            </w:r>
          </w:p>
          <w:p w:rsidR="00B64919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cudun ısınmasına neden olurlar.</w:t>
            </w:r>
          </w:p>
          <w:p w:rsidR="00B64919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FB2CF1" w:rsidRPr="00B64919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EN1836</w:t>
            </w:r>
            <w:r w:rsidRP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>lensleri</w:t>
            </w:r>
            <w:r w:rsidR="00B64919">
              <w:rPr>
                <w:rFonts w:ascii="Helvetica" w:eastAsia="Times New Roman" w:hAnsi="Helvetica" w:cs="Helvetica"/>
                <w:b/>
                <w:color w:val="1F497D" w:themeColor="text2"/>
                <w:sz w:val="18"/>
                <w:szCs w:val="18"/>
                <w:u w:val="single"/>
                <w:lang w:eastAsia="tr-TR"/>
              </w:rPr>
              <w:t xml:space="preserve"> :</w:t>
            </w:r>
          </w:p>
          <w:p w:rsidR="00FB2CF1" w:rsidRPr="00FB2CF1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Güneş gözlüğü lensleri insanları güneş ışınlarının zararlı etkilerinden korumak için yapılmıştır. EN1836 Avrupa standardı bu</w:t>
            </w:r>
          </w:p>
          <w:p w:rsidR="00A46B3D" w:rsidRDefault="00FB2CF1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lensleri 5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kategoride</w:t>
            </w:r>
            <w:r w:rsidRPr="00FB2CF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sınıflandırmıştır ve bu kategoriler lens</w:t>
            </w:r>
            <w:r w:rsidR="00A46B3D" w:rsidRPr="00A46B3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.</w:t>
            </w:r>
          </w:p>
          <w:p w:rsidR="00B64919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0" w:type="auto"/>
              <w:tblCellSpacing w:w="0" w:type="dxa"/>
              <w:shd w:val="clear" w:color="auto" w:fill="FEFEF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700"/>
              <w:gridCol w:w="1350"/>
              <w:gridCol w:w="1350"/>
              <w:gridCol w:w="2100"/>
            </w:tblGrid>
            <w:tr w:rsidR="00B64919" w:rsidRPr="00B64919" w:rsidTr="00B64919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EDFA8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EDFA8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18"/>
                      <w:lang w:eastAsia="tr-TR"/>
                    </w:rPr>
                    <w:t>Kategori</w:t>
                  </w:r>
                </w:p>
              </w:tc>
              <w:tc>
                <w:tcPr>
                  <w:tcW w:w="1350" w:type="dxa"/>
                  <w:shd w:val="clear" w:color="auto" w:fill="FEDFA8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350" w:type="dxa"/>
                  <w:shd w:val="clear" w:color="auto" w:fill="FEDFA8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18"/>
                      <w:lang w:eastAsia="tr-TR"/>
                    </w:rPr>
                    <w:t>Işığın emilimi</w:t>
                  </w:r>
                </w:p>
              </w:tc>
              <w:tc>
                <w:tcPr>
                  <w:tcW w:w="2100" w:type="dxa"/>
                  <w:shd w:val="clear" w:color="auto" w:fill="FEDFA8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18"/>
                      <w:lang w:eastAsia="tr-TR"/>
                    </w:rPr>
                    <w:t>Özellikler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FF59B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680400" cy="252000"/>
                        <wp:effectExtent l="19050" t="0" r="5400" b="0"/>
                        <wp:docPr id="11" name="Resim 11" descr="http://www.lux-optical.com/images/stories/images/niv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lux-optical.com/images/stories/images/niv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40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0&gt;% 20</w:t>
                  </w:r>
                </w:p>
              </w:tc>
              <w:tc>
                <w:tcPr>
                  <w:tcW w:w="210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Konfor ve tasarım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FF59B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655200" cy="252000"/>
                        <wp:effectExtent l="19050" t="0" r="0" b="0"/>
                        <wp:docPr id="12" name="Resim 1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20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20&gt;% 57</w:t>
                  </w:r>
                </w:p>
              </w:tc>
              <w:tc>
                <w:tcPr>
                  <w:tcW w:w="210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Düşük güneş ışığı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FF59B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655200" cy="252000"/>
                        <wp:effectExtent l="19050" t="0" r="0" b="0"/>
                        <wp:docPr id="13" name="Resim 13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20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57&gt;% 82</w:t>
                  </w:r>
                </w:p>
              </w:tc>
              <w:tc>
                <w:tcPr>
                  <w:tcW w:w="210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Orta</w:t>
                  </w:r>
                  <w:r w:rsidR="009E52B4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seviye</w:t>
                  </w: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 xml:space="preserve"> güneş ışığı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FF59B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756000" cy="252000"/>
                        <wp:effectExtent l="19050" t="0" r="6000" b="0"/>
                        <wp:docPr id="14" name="Resim 14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00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82&gt;% 92</w:t>
                  </w:r>
                </w:p>
              </w:tc>
              <w:tc>
                <w:tcPr>
                  <w:tcW w:w="210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Güçlü güneş ışığı</w:t>
                  </w:r>
                </w:p>
              </w:tc>
            </w:tr>
            <w:tr w:rsidR="00B64919" w:rsidRPr="00B64919" w:rsidTr="00B64919">
              <w:trPr>
                <w:tblCellSpacing w:w="0" w:type="dxa"/>
              </w:trPr>
              <w:tc>
                <w:tcPr>
                  <w:tcW w:w="2700" w:type="dxa"/>
                  <w:shd w:val="clear" w:color="auto" w:fill="FFF59B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333333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985040" cy="252000"/>
                        <wp:effectExtent l="19050" t="0" r="5560" b="0"/>
                        <wp:docPr id="15" name="Resim 15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504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135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92&gt;% 97</w:t>
                  </w:r>
                </w:p>
              </w:tc>
              <w:tc>
                <w:tcPr>
                  <w:tcW w:w="2100" w:type="dxa"/>
                  <w:shd w:val="clear" w:color="auto" w:fill="E5EBF6"/>
                  <w:vAlign w:val="center"/>
                  <w:hideMark/>
                </w:tcPr>
                <w:p w:rsidR="00B64919" w:rsidRPr="00B64919" w:rsidRDefault="00B64919" w:rsidP="00B6491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B64919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tr-TR"/>
                    </w:rPr>
                    <w:t>Aşırı güneş ışığı</w:t>
                  </w:r>
                </w:p>
              </w:tc>
            </w:tr>
          </w:tbl>
          <w:p w:rsidR="00B64919" w:rsidRPr="00A46B3D" w:rsidRDefault="00B64919" w:rsidP="00FB2CF1">
            <w:pPr>
              <w:widowControl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  <w:p w:rsidR="00A46B3D" w:rsidRPr="00A46B3D" w:rsidRDefault="00A46B3D" w:rsidP="00A46B3D">
            <w:pPr>
              <w:spacing w:after="240" w:line="225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  <w:p w:rsidR="009E52B4" w:rsidRDefault="00B64919" w:rsidP="00B64919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9E52B4">
              <w:rPr>
                <w:rFonts w:ascii="Helvetica" w:eastAsia="Times New Roman" w:hAnsi="Helvetica" w:cs="Helvetica"/>
                <w:b/>
                <w:color w:val="FF0000"/>
                <w:sz w:val="18"/>
                <w:szCs w:val="18"/>
                <w:lang w:eastAsia="tr-TR"/>
              </w:rPr>
              <w:t>DİKKAT :</w:t>
            </w: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9E52B4" w:rsidRDefault="00B64919" w:rsidP="00B64919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1. kategori ve üzerindeki lenslerin hiç biri gece sürüş</w:t>
            </w:r>
            <w:r w:rsidR="009E52B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yapmak için uygun değildir. </w:t>
            </w:r>
          </w:p>
          <w:p w:rsidR="00B64919" w:rsidRPr="00B64919" w:rsidRDefault="00B64919" w:rsidP="00B64919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4. kategorideki lensler trafiğe çıkmak</w:t>
            </w:r>
            <w:r w:rsidR="009E52B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için uygun değildir.</w:t>
            </w:r>
          </w:p>
          <w:p w:rsidR="00A46B3D" w:rsidRPr="00A46B3D" w:rsidRDefault="00B64919" w:rsidP="009E52B4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UV ışınlarının filtrelenmesi lenslerin (mineral veya organik) içinde</w:t>
            </w:r>
            <w:r w:rsidR="009E52B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6491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meydana gelir. Cam rengi bu durumu etkilemez.</w:t>
            </w:r>
          </w:p>
        </w:tc>
      </w:tr>
      <w:tr w:rsidR="00A46B3D" w:rsidRPr="00A46B3D" w:rsidTr="00FB2CF1">
        <w:trPr>
          <w:tblCellSpacing w:w="0" w:type="dxa"/>
        </w:trPr>
        <w:tc>
          <w:tcPr>
            <w:tcW w:w="10632" w:type="dxa"/>
            <w:shd w:val="clear" w:color="auto" w:fill="FEFEFD"/>
            <w:vAlign w:val="center"/>
          </w:tcPr>
          <w:p w:rsidR="00A46B3D" w:rsidRPr="00A46B3D" w:rsidRDefault="00A46B3D" w:rsidP="00A46B3D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C95724" w:rsidRDefault="00C95724"/>
    <w:sectPr w:rsidR="00C95724" w:rsidSect="00C9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3B" w:rsidRDefault="0096183B" w:rsidP="00B64919">
      <w:pPr>
        <w:spacing w:after="0" w:line="240" w:lineRule="auto"/>
      </w:pPr>
      <w:r>
        <w:separator/>
      </w:r>
    </w:p>
  </w:endnote>
  <w:endnote w:type="continuationSeparator" w:id="1">
    <w:p w:rsidR="0096183B" w:rsidRDefault="0096183B" w:rsidP="00B6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3B" w:rsidRDefault="0096183B" w:rsidP="00B64919">
      <w:pPr>
        <w:spacing w:after="0" w:line="240" w:lineRule="auto"/>
      </w:pPr>
      <w:r>
        <w:separator/>
      </w:r>
    </w:p>
  </w:footnote>
  <w:footnote w:type="continuationSeparator" w:id="1">
    <w:p w:rsidR="0096183B" w:rsidRDefault="0096183B" w:rsidP="00B6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6B3D"/>
    <w:rsid w:val="00046C17"/>
    <w:rsid w:val="0096183B"/>
    <w:rsid w:val="009E52B4"/>
    <w:rsid w:val="00A46B3D"/>
    <w:rsid w:val="00A97D85"/>
    <w:rsid w:val="00B64919"/>
    <w:rsid w:val="00C95724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46B3D"/>
    <w:rPr>
      <w:b/>
      <w:bCs/>
    </w:rPr>
  </w:style>
  <w:style w:type="paragraph" w:customStyle="1" w:styleId="noir12">
    <w:name w:val="noir12"/>
    <w:basedOn w:val="Normal"/>
    <w:rsid w:val="00A4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46B3D"/>
  </w:style>
  <w:style w:type="paragraph" w:customStyle="1" w:styleId="rouge12">
    <w:name w:val="rouge12"/>
    <w:basedOn w:val="Normal"/>
    <w:rsid w:val="00A4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B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6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4919"/>
  </w:style>
  <w:style w:type="paragraph" w:styleId="Altbilgi">
    <w:name w:val="footer"/>
    <w:basedOn w:val="Normal"/>
    <w:link w:val="AltbilgiChar"/>
    <w:uiPriority w:val="99"/>
    <w:semiHidden/>
    <w:unhideWhenUsed/>
    <w:rsid w:val="00B6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4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horizon-av</dc:creator>
  <cp:lastModifiedBy>horizon-av</cp:lastModifiedBy>
  <cp:revision>1</cp:revision>
  <dcterms:created xsi:type="dcterms:W3CDTF">2012-06-28T18:17:00Z</dcterms:created>
  <dcterms:modified xsi:type="dcterms:W3CDTF">2012-06-28T20:31:00Z</dcterms:modified>
</cp:coreProperties>
</file>